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515"/>
        <w:gridCol w:w="1050"/>
        <w:gridCol w:w="990"/>
        <w:gridCol w:w="1290"/>
        <w:tblGridChange w:id="0">
          <w:tblGrid>
            <w:gridCol w:w="2730"/>
            <w:gridCol w:w="1515"/>
            <w:gridCol w:w="1050"/>
            <w:gridCol w:w="990"/>
            <w:gridCol w:w="129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1st Installment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Incentive (INR)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Lump Sum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Incentive (INR)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58,000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PGDM (Executive)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PGDM (21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72,000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PGDBA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UI/UX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90000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 in Digital marketing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 in Machine Learning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Incentive Slab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500"/>
        <w:tblGridChange w:id="0">
          <w:tblGrid>
            <w:gridCol w:w="1725"/>
            <w:gridCol w:w="150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6"/>
                <w:szCs w:val="26"/>
                <w:rtl w:val="0"/>
              </w:rPr>
              <w:t xml:space="preserve">Admissions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6"/>
                <w:szCs w:val="26"/>
                <w:rtl w:val="0"/>
              </w:rPr>
              <w:t xml:space="preserve">Tenured Category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